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DD" w:rsidRPr="00B654A4" w:rsidRDefault="00B654A4" w:rsidP="00B654A4">
      <w:pPr>
        <w:jc w:val="center"/>
        <w:rPr>
          <w:rFonts w:asciiTheme="majorBidi" w:hAnsiTheme="majorBidi" w:cstheme="majorBidi"/>
          <w:b/>
          <w:bCs/>
          <w:sz w:val="28"/>
          <w:szCs w:val="28"/>
        </w:rPr>
      </w:pPr>
      <w:bookmarkStart w:id="0" w:name="_GoBack"/>
      <w:bookmarkEnd w:id="0"/>
      <w:r w:rsidRPr="00B654A4">
        <w:rPr>
          <w:rFonts w:asciiTheme="majorBidi" w:hAnsiTheme="majorBidi" w:cstheme="majorBidi"/>
          <w:b/>
          <w:bCs/>
          <w:sz w:val="28"/>
          <w:szCs w:val="28"/>
        </w:rPr>
        <w:t>Novel zirconium based metal organic framework/</w:t>
      </w:r>
      <w:proofErr w:type="spellStart"/>
      <w:r w:rsidRPr="00B654A4">
        <w:rPr>
          <w:rFonts w:asciiTheme="majorBidi" w:hAnsiTheme="majorBidi" w:cstheme="majorBidi"/>
          <w:b/>
          <w:bCs/>
          <w:sz w:val="28"/>
          <w:szCs w:val="28"/>
        </w:rPr>
        <w:t>biochar</w:t>
      </w:r>
      <w:proofErr w:type="spellEnd"/>
      <w:r w:rsidRPr="00B654A4">
        <w:rPr>
          <w:rFonts w:asciiTheme="majorBidi" w:hAnsiTheme="majorBidi" w:cstheme="majorBidi"/>
          <w:b/>
          <w:bCs/>
          <w:sz w:val="28"/>
          <w:szCs w:val="28"/>
        </w:rPr>
        <w:t xml:space="preserve"> composite from green pea peels for anionic dye decontamination</w:t>
      </w:r>
    </w:p>
    <w:p w:rsidR="00B654A4" w:rsidRPr="00B654A4" w:rsidRDefault="00B654A4" w:rsidP="00A748A8">
      <w:pPr>
        <w:spacing w:after="0" w:line="240" w:lineRule="auto"/>
        <w:jc w:val="center"/>
        <w:rPr>
          <w:rFonts w:ascii="Calibri" w:eastAsia="Calibri" w:hAnsi="Calibri" w:cs="Calibri"/>
          <w:color w:val="00000A"/>
        </w:rPr>
      </w:pPr>
      <w:r w:rsidRPr="00B654A4">
        <w:rPr>
          <w:rFonts w:ascii="Times New Roman" w:eastAsia="Times New Roman" w:hAnsi="Times New Roman" w:cs="Times New Roman"/>
          <w:color w:val="000000"/>
          <w:sz w:val="24"/>
          <w:szCs w:val="24"/>
          <w:u w:val="single"/>
        </w:rPr>
        <w:t xml:space="preserve">Hassan </w:t>
      </w:r>
      <w:proofErr w:type="spellStart"/>
      <w:r w:rsidRPr="00B654A4">
        <w:rPr>
          <w:rFonts w:ascii="Times New Roman" w:eastAsia="Times New Roman" w:hAnsi="Times New Roman" w:cs="Times New Roman"/>
          <w:color w:val="000000"/>
          <w:sz w:val="24"/>
          <w:szCs w:val="24"/>
          <w:u w:val="single"/>
        </w:rPr>
        <w:t>Shokry</w:t>
      </w:r>
      <w:proofErr w:type="spellEnd"/>
      <w:r w:rsidRPr="00B654A4">
        <w:rPr>
          <w:rFonts w:ascii="Times New Roman" w:eastAsia="Times New Roman" w:hAnsi="Times New Roman" w:cs="Times New Roman"/>
          <w:color w:val="000000"/>
          <w:sz w:val="24"/>
          <w:szCs w:val="24"/>
          <w:u w:val="single"/>
        </w:rPr>
        <w:t xml:space="preserve"> Hassan</w:t>
      </w:r>
      <w:r w:rsidR="00A748A8">
        <w:rPr>
          <w:rFonts w:ascii="Times New Roman" w:eastAsia="Times New Roman" w:hAnsi="Times New Roman" w:cs="Times New Roman"/>
          <w:color w:val="000000"/>
          <w:sz w:val="24"/>
          <w:szCs w:val="24"/>
          <w:u w:val="single"/>
          <w:vertAlign w:val="superscript"/>
        </w:rPr>
        <w:t xml:space="preserve"> 1</w:t>
      </w:r>
      <w:r w:rsidRPr="00B654A4">
        <w:rPr>
          <w:rFonts w:ascii="Times New Roman" w:eastAsia="Times New Roman" w:hAnsi="Times New Roman" w:cs="Times New Roman"/>
          <w:color w:val="000000"/>
          <w:sz w:val="24"/>
          <w:szCs w:val="24"/>
          <w:vertAlign w:val="superscript"/>
        </w:rPr>
        <w:t>*</w:t>
      </w:r>
      <w:r w:rsidR="00F17FEE">
        <w:rPr>
          <w:rFonts w:ascii="Calibri" w:eastAsia="Calibri" w:hAnsi="Calibri" w:cs="Calibri"/>
          <w:color w:val="00000A"/>
        </w:rPr>
        <w:t>,</w:t>
      </w:r>
      <w:r w:rsidRPr="00B654A4">
        <w:rPr>
          <w:rFonts w:ascii="Times New Roman" w:eastAsia="Times New Roman" w:hAnsi="Times New Roman" w:cs="Times New Roman"/>
          <w:color w:val="000000"/>
          <w:sz w:val="24"/>
          <w:szCs w:val="24"/>
        </w:rPr>
        <w:t xml:space="preserve"> </w:t>
      </w:r>
      <w:proofErr w:type="spellStart"/>
      <w:r w:rsidRPr="00B654A4">
        <w:rPr>
          <w:rFonts w:ascii="Times New Roman" w:eastAsia="Times New Roman" w:hAnsi="Times New Roman" w:cs="Times New Roman"/>
          <w:color w:val="000000"/>
          <w:sz w:val="24"/>
          <w:szCs w:val="24"/>
        </w:rPr>
        <w:t>Marwa</w:t>
      </w:r>
      <w:proofErr w:type="spellEnd"/>
      <w:r w:rsidRPr="00B654A4">
        <w:rPr>
          <w:rFonts w:ascii="Times New Roman" w:eastAsia="Times New Roman" w:hAnsi="Times New Roman" w:cs="Times New Roman"/>
          <w:color w:val="000000"/>
          <w:sz w:val="24"/>
          <w:szCs w:val="24"/>
        </w:rPr>
        <w:t xml:space="preserve"> F. Elkady</w:t>
      </w:r>
      <w:r w:rsidR="00A748A8">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sidRPr="00B654A4">
        <w:rPr>
          <w:rFonts w:ascii="Times New Roman" w:eastAsia="Times New Roman" w:hAnsi="Times New Roman" w:cs="Times New Roman"/>
          <w:color w:val="000000"/>
          <w:sz w:val="24"/>
          <w:szCs w:val="24"/>
        </w:rPr>
        <w:t>Saad</w:t>
      </w:r>
      <w:proofErr w:type="spellEnd"/>
      <w:r w:rsidRPr="00B654A4">
        <w:rPr>
          <w:rFonts w:ascii="Times New Roman" w:eastAsia="Times New Roman" w:hAnsi="Times New Roman" w:cs="Times New Roman"/>
          <w:color w:val="000000"/>
          <w:sz w:val="24"/>
          <w:szCs w:val="24"/>
        </w:rPr>
        <w:t xml:space="preserve"> Mahmoud</w:t>
      </w:r>
      <w:r w:rsidR="00A748A8">
        <w:rPr>
          <w:rFonts w:ascii="Times New Roman" w:eastAsia="Times New Roman" w:hAnsi="Times New Roman" w:cs="Times New Roman"/>
          <w:color w:val="000000"/>
          <w:sz w:val="24"/>
          <w:szCs w:val="24"/>
          <w:vertAlign w:val="superscript"/>
        </w:rPr>
        <w:t>3</w:t>
      </w:r>
      <w:r w:rsidRPr="00B654A4">
        <w:rPr>
          <w:rFonts w:ascii="Times New Roman" w:eastAsia="Times New Roman" w:hAnsi="Times New Roman" w:cs="Times New Roman"/>
          <w:color w:val="000000"/>
          <w:sz w:val="24"/>
          <w:szCs w:val="24"/>
        </w:rPr>
        <w:t>, Raya Al-Dadah</w:t>
      </w:r>
      <w:r w:rsidR="00A748A8">
        <w:rPr>
          <w:rFonts w:ascii="Times New Roman" w:eastAsia="Times New Roman" w:hAnsi="Times New Roman" w:cs="Times New Roman"/>
          <w:color w:val="000000"/>
          <w:sz w:val="24"/>
          <w:szCs w:val="24"/>
          <w:vertAlign w:val="superscript"/>
        </w:rPr>
        <w:t>3</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rPr>
        <w:t>*</w:t>
      </w:r>
      <w:r w:rsidRPr="00B654A4">
        <w:rPr>
          <w:rFonts w:ascii="Times New Roman" w:eastAsia="Times New Roman" w:hAnsi="Times New Roman" w:cs="Times New Roman"/>
          <w:i/>
          <w:color w:val="000000"/>
          <w:sz w:val="24"/>
          <w:szCs w:val="24"/>
          <w:vertAlign w:val="superscript"/>
        </w:rPr>
        <w:t>1</w:t>
      </w:r>
      <w:r w:rsidRPr="00B654A4">
        <w:rPr>
          <w:rFonts w:ascii="Times New Roman" w:eastAsia="Times New Roman" w:hAnsi="Times New Roman" w:cs="Times New Roman"/>
          <w:i/>
          <w:color w:val="000000"/>
          <w:sz w:val="24"/>
          <w:szCs w:val="24"/>
        </w:rPr>
        <w:t xml:space="preserve">Environmental Engineering Department, Egypt-Japan University of Science and Technology, New Borg El-Arab City, Alexandria 21934, Egypt. Telephone number: 01282305425, E-mail: </w:t>
      </w:r>
      <w:hyperlink r:id="rId5" w:history="1">
        <w:r w:rsidRPr="00B654A4">
          <w:rPr>
            <w:rFonts w:ascii="Times New Roman" w:eastAsia="Times New Roman" w:hAnsi="Times New Roman" w:cs="Times New Roman"/>
            <w:i/>
            <w:color w:val="0563C1" w:themeColor="hyperlink"/>
            <w:sz w:val="24"/>
            <w:szCs w:val="24"/>
            <w:u w:val="single"/>
          </w:rPr>
          <w:t>hassan.shokry@ejust.edu.eg</w:t>
        </w:r>
      </w:hyperlink>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2</w:t>
      </w:r>
      <w:r w:rsidRPr="00B654A4">
        <w:rPr>
          <w:rFonts w:ascii="Times New Roman" w:eastAsia="Times New Roman" w:hAnsi="Times New Roman" w:cs="Times New Roman"/>
          <w:i/>
          <w:color w:val="000000"/>
          <w:sz w:val="24"/>
          <w:szCs w:val="24"/>
        </w:rPr>
        <w:t xml:space="preserve">Electronic Materials Research Department, Advanced Technology and New Materials Research Institute (ATNMRI), City of Scientific Research and Technological Applications (SRTA-City), New Borg El-Arab City, Alexandria 21934, Egypt. </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3</w:t>
      </w:r>
      <w:r w:rsidRPr="00B654A4">
        <w:rPr>
          <w:rFonts w:ascii="Times New Roman" w:eastAsia="Times New Roman" w:hAnsi="Times New Roman" w:cs="Times New Roman"/>
          <w:i/>
          <w:color w:val="000000"/>
          <w:sz w:val="24"/>
          <w:szCs w:val="24"/>
        </w:rPr>
        <w:t>Chemical and Petrochemical Engineering Department, Egypt-Japan University of Science and Technology (E-JUST), New Borg El-Arab City, Alexandria 21934, Egypt.</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4</w:t>
      </w:r>
      <w:r w:rsidRPr="00B654A4">
        <w:rPr>
          <w:rFonts w:ascii="Times New Roman" w:eastAsia="Times New Roman" w:hAnsi="Times New Roman" w:cs="Times New Roman"/>
          <w:i/>
          <w:color w:val="000000"/>
          <w:sz w:val="24"/>
          <w:szCs w:val="24"/>
        </w:rPr>
        <w:t>Fabrication Technology Research Department, Advanced Technology and New Materials Research Institute (ATNMRI), City of Scientific Research and Technological Applications (SRTA-City), New Borg El-Arab City, Alexandria 21934, Egypt.</w:t>
      </w:r>
    </w:p>
    <w:p w:rsidR="00B654A4" w:rsidRPr="00B654A4" w:rsidRDefault="00B654A4" w:rsidP="00B654A4">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sz w:val="24"/>
          <w:szCs w:val="24"/>
          <w:vertAlign w:val="superscript"/>
        </w:rPr>
        <w:t>5</w:t>
      </w:r>
      <w:r w:rsidRPr="00B654A4">
        <w:rPr>
          <w:rFonts w:ascii="Times New Roman" w:eastAsia="Times New Roman" w:hAnsi="Times New Roman" w:cs="Times New Roman"/>
          <w:i/>
          <w:color w:val="000000"/>
          <w:sz w:val="24"/>
          <w:szCs w:val="24"/>
        </w:rPr>
        <w:t xml:space="preserve">Department of Mechanical Engineering, University of Birmingham, </w:t>
      </w:r>
      <w:proofErr w:type="spellStart"/>
      <w:r w:rsidRPr="00B654A4">
        <w:rPr>
          <w:rFonts w:ascii="Times New Roman" w:eastAsia="Times New Roman" w:hAnsi="Times New Roman" w:cs="Times New Roman"/>
          <w:i/>
          <w:color w:val="000000"/>
          <w:sz w:val="24"/>
          <w:szCs w:val="24"/>
        </w:rPr>
        <w:t>Edgbaston</w:t>
      </w:r>
      <w:proofErr w:type="spellEnd"/>
      <w:r w:rsidRPr="00B654A4">
        <w:rPr>
          <w:rFonts w:ascii="Times New Roman" w:eastAsia="Times New Roman" w:hAnsi="Times New Roman" w:cs="Times New Roman"/>
          <w:i/>
          <w:color w:val="000000"/>
          <w:sz w:val="24"/>
          <w:szCs w:val="24"/>
        </w:rPr>
        <w:t>, Birmingham B152TT, UK</w:t>
      </w:r>
    </w:p>
    <w:p w:rsidR="00B654A4" w:rsidRDefault="00B654A4" w:rsidP="00B654A4">
      <w:pPr>
        <w:spacing w:after="0" w:line="240" w:lineRule="auto"/>
        <w:jc w:val="both"/>
        <w:rPr>
          <w:rFonts w:ascii="Times New Roman" w:eastAsia="Times New Roman" w:hAnsi="Times New Roman" w:cs="Times New Roman"/>
          <w:b/>
          <w:color w:val="000000"/>
          <w:sz w:val="24"/>
          <w:szCs w:val="24"/>
        </w:rPr>
      </w:pPr>
    </w:p>
    <w:p w:rsidR="00B654A4" w:rsidRPr="00B654A4" w:rsidRDefault="00B654A4" w:rsidP="00B654A4">
      <w:pPr>
        <w:spacing w:after="0" w:line="240" w:lineRule="auto"/>
        <w:jc w:val="both"/>
        <w:rPr>
          <w:rFonts w:ascii="Calibri" w:eastAsia="Calibri" w:hAnsi="Calibri" w:cs="Calibri"/>
          <w:color w:val="00000A"/>
        </w:rPr>
      </w:pPr>
      <w:r w:rsidRPr="00B654A4">
        <w:rPr>
          <w:rFonts w:ascii="Times New Roman" w:eastAsia="Times New Roman" w:hAnsi="Times New Roman" w:cs="Times New Roman"/>
          <w:b/>
          <w:color w:val="000000"/>
          <w:sz w:val="24"/>
          <w:szCs w:val="24"/>
        </w:rPr>
        <w:t>Abstract</w:t>
      </w:r>
    </w:p>
    <w:p w:rsidR="00B654A4" w:rsidRPr="00166F12" w:rsidRDefault="00B654A4" w:rsidP="00B654A4">
      <w:pPr>
        <w:spacing w:line="274" w:lineRule="atLeast"/>
        <w:jc w:val="both"/>
        <w:rPr>
          <w:rFonts w:ascii="Calibri" w:eastAsia="Times New Roman" w:hAnsi="Calibri" w:cs="Calibri"/>
        </w:rPr>
      </w:pPr>
      <w:r>
        <w:rPr>
          <w:rFonts w:ascii="Times New Roman" w:eastAsia="Times New Roman" w:hAnsi="Times New Roman" w:cs="Times New Roman"/>
          <w:sz w:val="24"/>
          <w:szCs w:val="24"/>
        </w:rPr>
        <w:t>In order to</w:t>
      </w:r>
      <w:r w:rsidRPr="00166F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dimension the </w:t>
      </w:r>
      <w:r w:rsidRPr="00166F12">
        <w:rPr>
          <w:rFonts w:ascii="Times New Roman" w:eastAsia="Times New Roman" w:hAnsi="Times New Roman" w:cs="Times New Roman"/>
          <w:sz w:val="24"/>
          <w:szCs w:val="24"/>
        </w:rPr>
        <w:t xml:space="preserve">catastrophic </w:t>
      </w:r>
      <w:r>
        <w:rPr>
          <w:rFonts w:ascii="Times New Roman" w:eastAsia="Times New Roman" w:hAnsi="Times New Roman" w:cs="Times New Roman"/>
          <w:sz w:val="24"/>
          <w:szCs w:val="24"/>
        </w:rPr>
        <w:t>effect</w:t>
      </w:r>
      <w:r w:rsidRPr="00166F12">
        <w:rPr>
          <w:rFonts w:ascii="Times New Roman" w:eastAsia="Times New Roman" w:hAnsi="Times New Roman" w:cs="Times New Roman"/>
          <w:sz w:val="24"/>
          <w:szCs w:val="24"/>
        </w:rPr>
        <w:t xml:space="preserve"> of contaminated water, smart technology-based wastewater treatment processes are mandatory for safe water and sanitation. </w:t>
      </w:r>
      <w:r>
        <w:rPr>
          <w:rFonts w:ascii="Times New Roman" w:eastAsia="Times New Roman" w:hAnsi="Times New Roman" w:cs="Times New Roman"/>
          <w:sz w:val="24"/>
          <w:szCs w:val="24"/>
        </w:rPr>
        <w:t>Zirconium based metal organic frame material</w:t>
      </w:r>
      <w:r w:rsidRPr="00166F12">
        <w:rPr>
          <w:rFonts w:ascii="Times New Roman" w:eastAsia="Times New Roman" w:hAnsi="Times New Roman" w:cs="Times New Roman"/>
          <w:sz w:val="24"/>
          <w:szCs w:val="24"/>
        </w:rPr>
        <w:t xml:space="preserve"> supported with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are green choices for futuristic adsorbents for water decontamination with versatility, simplicity, high surface reactivity, and efficacy.</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decolorization</w:t>
      </w:r>
      <w:proofErr w:type="spellEnd"/>
      <w:r>
        <w:rPr>
          <w:rFonts w:ascii="Times New Roman" w:eastAsia="Times New Roman" w:hAnsi="Times New Roman" w:cs="Times New Roman"/>
          <w:sz w:val="24"/>
          <w:szCs w:val="24"/>
        </w:rPr>
        <w:t xml:space="preserve"> of the anionic</w:t>
      </w:r>
      <w:r w:rsidRPr="00166F12">
        <w:rPr>
          <w:rFonts w:ascii="Times New Roman" w:eastAsia="Times New Roman" w:hAnsi="Times New Roman" w:cs="Times New Roman"/>
          <w:sz w:val="24"/>
          <w:szCs w:val="24"/>
        </w:rPr>
        <w:t xml:space="preserve"> Congo Red (CR) from an aqueous solution was </w:t>
      </w:r>
      <w:r>
        <w:rPr>
          <w:rFonts w:ascii="Times New Roman" w:eastAsia="Times New Roman" w:hAnsi="Times New Roman" w:cs="Times New Roman"/>
          <w:sz w:val="24"/>
          <w:szCs w:val="24"/>
        </w:rPr>
        <w:t>successfully achieved onto the novel fabricated</w:t>
      </w:r>
      <w:r w:rsidRPr="00166F12">
        <w:rPr>
          <w:rFonts w:ascii="Times New Roman" w:eastAsia="Times New Roman" w:hAnsi="Times New Roman" w:cs="Times New Roman"/>
          <w:sz w:val="24"/>
          <w:szCs w:val="24"/>
        </w:rPr>
        <w:t xml:space="preserve"> green pea peels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(GPBC) and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 green pea peels </w:t>
      </w:r>
      <w:proofErr w:type="spellStart"/>
      <w:r w:rsidRPr="00166F12">
        <w:rPr>
          <w:rFonts w:ascii="Times New Roman" w:eastAsia="Times New Roman" w:hAnsi="Times New Roman" w:cs="Times New Roman"/>
          <w:sz w:val="24"/>
          <w:szCs w:val="24"/>
        </w:rPr>
        <w:t>biochar</w:t>
      </w:r>
      <w:proofErr w:type="spellEnd"/>
      <w:r w:rsidRPr="00166F12">
        <w:rPr>
          <w:rFonts w:ascii="Times New Roman" w:eastAsia="Times New Roman" w:hAnsi="Times New Roman" w:cs="Times New Roman"/>
          <w:sz w:val="24"/>
          <w:szCs w:val="24"/>
        </w:rPr>
        <w:t xml:space="preserve"> </w:t>
      </w:r>
      <w:proofErr w:type="spellStart"/>
      <w:r w:rsidRPr="00166F12">
        <w:rPr>
          <w:rFonts w:ascii="Times New Roman" w:eastAsia="Times New Roman" w:hAnsi="Times New Roman" w:cs="Times New Roman"/>
          <w:sz w:val="24"/>
          <w:szCs w:val="24"/>
        </w:rPr>
        <w:t>nanocomposite</w:t>
      </w:r>
      <w:proofErr w:type="spellEnd"/>
      <w:r w:rsidRPr="00166F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The </w:t>
      </w:r>
      <w:r>
        <w:rPr>
          <w:rFonts w:ascii="Times New Roman" w:eastAsia="Times New Roman" w:hAnsi="Times New Roman" w:cs="Times New Roman"/>
          <w:sz w:val="24"/>
          <w:szCs w:val="24"/>
        </w:rPr>
        <w:t xml:space="preserve">physicochemical properties of prepared material </w:t>
      </w:r>
      <w:r w:rsidRPr="00166F12">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compared using </w:t>
      </w:r>
      <w:r w:rsidRPr="00166F12">
        <w:rPr>
          <w:rFonts w:ascii="Times New Roman" w:eastAsia="Times New Roman" w:hAnsi="Times New Roman" w:cs="Times New Roman"/>
          <w:sz w:val="24"/>
          <w:szCs w:val="24"/>
        </w:rPr>
        <w:t xml:space="preserve">EDX, TEM, XRD, BET, FTIR, and point of zero charge. The role of </w:t>
      </w:r>
      <w:r>
        <w:rPr>
          <w:rFonts w:ascii="Times New Roman" w:eastAsia="Times New Roman" w:hAnsi="Times New Roman" w:cs="Times New Roman"/>
          <w:sz w:val="24"/>
          <w:szCs w:val="24"/>
        </w:rPr>
        <w:t>dye adsorption parameters</w:t>
      </w:r>
      <w:r w:rsidRPr="00166F12">
        <w:rPr>
          <w:rFonts w:ascii="Times New Roman" w:eastAsia="Times New Roman" w:hAnsi="Times New Roman" w:cs="Times New Roman"/>
          <w:sz w:val="24"/>
          <w:szCs w:val="24"/>
        </w:rPr>
        <w:t xml:space="preserve"> of initial concentration, GPBC and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dosage, </w:t>
      </w:r>
      <w:r>
        <w:rPr>
          <w:rFonts w:ascii="Times New Roman" w:eastAsia="Times New Roman" w:hAnsi="Times New Roman" w:cs="Times New Roman"/>
          <w:sz w:val="24"/>
          <w:szCs w:val="24"/>
        </w:rPr>
        <w:t xml:space="preserve">and solution </w:t>
      </w:r>
      <w:r w:rsidRPr="00166F12">
        <w:rPr>
          <w:rFonts w:ascii="Times New Roman" w:eastAsia="Times New Roman" w:hAnsi="Times New Roman" w:cs="Times New Roman"/>
          <w:sz w:val="24"/>
          <w:szCs w:val="24"/>
        </w:rPr>
        <w:t xml:space="preserve">pH </w:t>
      </w:r>
      <w:r>
        <w:rPr>
          <w:rFonts w:ascii="Times New Roman" w:eastAsia="Times New Roman" w:hAnsi="Times New Roman" w:cs="Times New Roman"/>
          <w:sz w:val="24"/>
          <w:szCs w:val="24"/>
        </w:rPr>
        <w:t>and</w:t>
      </w:r>
      <w:r w:rsidRPr="00166F12">
        <w:rPr>
          <w:rFonts w:ascii="Times New Roman" w:eastAsia="Times New Roman" w:hAnsi="Times New Roman" w:cs="Times New Roman"/>
          <w:sz w:val="24"/>
          <w:szCs w:val="24"/>
        </w:rPr>
        <w:t xml:space="preserve"> temperature </w:t>
      </w:r>
      <w:r>
        <w:rPr>
          <w:rFonts w:ascii="Times New Roman" w:eastAsia="Times New Roman" w:hAnsi="Times New Roman" w:cs="Times New Roman"/>
          <w:sz w:val="24"/>
          <w:szCs w:val="24"/>
        </w:rPr>
        <w:t xml:space="preserve">beside the contact </w:t>
      </w:r>
      <w:r w:rsidRPr="00166F12">
        <w:rPr>
          <w:rFonts w:ascii="Times New Roman" w:eastAsia="Times New Roman" w:hAnsi="Times New Roman" w:cs="Times New Roman"/>
          <w:sz w:val="24"/>
          <w:szCs w:val="24"/>
        </w:rPr>
        <w:t>time</w:t>
      </w:r>
      <w:r>
        <w:rPr>
          <w:rFonts w:ascii="Times New Roman" w:eastAsia="Times New Roman" w:hAnsi="Times New Roman" w:cs="Times New Roman"/>
          <w:sz w:val="24"/>
          <w:szCs w:val="24"/>
        </w:rPr>
        <w:t xml:space="preserve"> </w:t>
      </w:r>
      <w:r w:rsidRPr="00166F12">
        <w:rPr>
          <w:rFonts w:ascii="Times New Roman" w:eastAsia="Times New Roman" w:hAnsi="Times New Roman" w:cs="Times New Roman"/>
          <w:sz w:val="24"/>
          <w:szCs w:val="24"/>
        </w:rPr>
        <w:t>were e</w:t>
      </w:r>
      <w:r>
        <w:rPr>
          <w:rFonts w:ascii="Times New Roman" w:eastAsia="Times New Roman" w:hAnsi="Times New Roman" w:cs="Times New Roman"/>
          <w:sz w:val="24"/>
          <w:szCs w:val="24"/>
        </w:rPr>
        <w:t>valuated</w:t>
      </w:r>
      <w:r w:rsidRPr="00166F12">
        <w:rPr>
          <w:rFonts w:ascii="Times New Roman" w:eastAsia="Times New Roman" w:hAnsi="Times New Roman" w:cs="Times New Roman"/>
          <w:sz w:val="24"/>
          <w:szCs w:val="24"/>
        </w:rPr>
        <w:t xml:space="preserve">. The results revealed that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/GPBC demonstrated better performance for anionic CR dye removal that recorded as 9</w:t>
      </w:r>
      <w:r>
        <w:rPr>
          <w:rFonts w:ascii="Times New Roman" w:eastAsia="Times New Roman" w:hAnsi="Times New Roman" w:cs="Times New Roman"/>
          <w:sz w:val="24"/>
          <w:szCs w:val="24"/>
        </w:rPr>
        <w:t>9.2</w:t>
      </w:r>
      <w:r w:rsidRPr="00166F12">
        <w:rPr>
          <w:rFonts w:ascii="Times New Roman" w:eastAsia="Times New Roman" w:hAnsi="Times New Roman" w:cs="Times New Roman"/>
          <w:sz w:val="24"/>
          <w:szCs w:val="24"/>
        </w:rPr>
        <w:t xml:space="preserve">% compared to </w:t>
      </w:r>
      <w:r>
        <w:rPr>
          <w:rFonts w:ascii="Times New Roman" w:eastAsia="Times New Roman" w:hAnsi="Times New Roman" w:cs="Times New Roman"/>
          <w:sz w:val="24"/>
          <w:szCs w:val="24"/>
        </w:rPr>
        <w:t>88</w:t>
      </w:r>
      <w:r w:rsidRPr="00166F12">
        <w:rPr>
          <w:rFonts w:ascii="Times New Roman" w:eastAsia="Times New Roman" w:hAnsi="Times New Roman" w:cs="Times New Roman"/>
          <w:sz w:val="24"/>
          <w:szCs w:val="24"/>
        </w:rPr>
        <w:t xml:space="preserve">% using GPPBC under optimized environment conditions. The examination of adsorption equilibrium isotherm displayed the validity of </w:t>
      </w:r>
      <w:proofErr w:type="spellStart"/>
      <w:r w:rsidRPr="00166F12">
        <w:rPr>
          <w:rFonts w:ascii="Times New Roman" w:eastAsia="Times New Roman" w:hAnsi="Times New Roman" w:cs="Times New Roman"/>
          <w:sz w:val="24"/>
          <w:szCs w:val="24"/>
        </w:rPr>
        <w:t>Freundlich</w:t>
      </w:r>
      <w:proofErr w:type="spellEnd"/>
      <w:r w:rsidRPr="00166F12">
        <w:rPr>
          <w:rFonts w:ascii="Times New Roman" w:eastAsia="Times New Roman" w:hAnsi="Times New Roman" w:cs="Times New Roman"/>
          <w:sz w:val="24"/>
          <w:szCs w:val="24"/>
        </w:rPr>
        <w:t xml:space="preserve"> and Langmuir model for description the dye </w:t>
      </w:r>
      <w:proofErr w:type="spellStart"/>
      <w:r w:rsidRPr="00166F12">
        <w:rPr>
          <w:rFonts w:ascii="Times New Roman" w:eastAsia="Times New Roman" w:hAnsi="Times New Roman" w:cs="Times New Roman"/>
          <w:sz w:val="24"/>
          <w:szCs w:val="24"/>
        </w:rPr>
        <w:t>decolorization</w:t>
      </w:r>
      <w:proofErr w:type="spellEnd"/>
      <w:r w:rsidRPr="00166F12">
        <w:rPr>
          <w:rFonts w:ascii="Times New Roman" w:eastAsia="Times New Roman" w:hAnsi="Times New Roman" w:cs="Times New Roman"/>
          <w:sz w:val="24"/>
          <w:szCs w:val="24"/>
        </w:rPr>
        <w:t xml:space="preserve"> onto </w:t>
      </w:r>
      <w:r>
        <w:rPr>
          <w:rFonts w:ascii="Times New Roman" w:eastAsia="Times New Roman" w:hAnsi="Times New Roman" w:cs="Times New Roman"/>
          <w:sz w:val="24"/>
          <w:szCs w:val="24"/>
        </w:rPr>
        <w:t>both UiO66</w:t>
      </w:r>
      <w:r w:rsidRPr="00166F12">
        <w:rPr>
          <w:rFonts w:ascii="Times New Roman" w:eastAsia="Times New Roman" w:hAnsi="Times New Roman" w:cs="Times New Roman"/>
          <w:sz w:val="24"/>
          <w:szCs w:val="24"/>
        </w:rPr>
        <w:t>/GPBC and GPBC respectively as best fitted models. Moreover, the kinetics studies disclosed pseudo-second-order (PSO) for both studied materials. The monolayer sorption capacities were 1</w:t>
      </w:r>
      <w:r>
        <w:rPr>
          <w:rFonts w:ascii="Times New Roman" w:eastAsia="Times New Roman" w:hAnsi="Times New Roman" w:cs="Times New Roman"/>
          <w:sz w:val="24"/>
          <w:szCs w:val="24"/>
        </w:rPr>
        <w:t>58</w:t>
      </w:r>
      <w:r w:rsidRPr="00166F12">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Pr="00166F12">
        <w:rPr>
          <w:rFonts w:ascii="Times New Roman" w:eastAsia="Times New Roman" w:hAnsi="Times New Roman" w:cs="Times New Roman"/>
          <w:sz w:val="24"/>
          <w:szCs w:val="24"/>
        </w:rPr>
        <w:t xml:space="preserve"> mg/g for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 xml:space="preserve">/GPBC and </w:t>
      </w:r>
      <w:r>
        <w:rPr>
          <w:rFonts w:ascii="Times New Roman" w:eastAsia="Times New Roman" w:hAnsi="Times New Roman" w:cs="Times New Roman"/>
          <w:sz w:val="24"/>
          <w:szCs w:val="24"/>
        </w:rPr>
        <w:t>58</w:t>
      </w:r>
      <w:r w:rsidRPr="00166F12">
        <w:rPr>
          <w:rFonts w:ascii="Times New Roman" w:eastAsia="Times New Roman" w:hAnsi="Times New Roman" w:cs="Times New Roman"/>
          <w:sz w:val="24"/>
          <w:szCs w:val="24"/>
        </w:rPr>
        <w:t>.</w:t>
      </w:r>
      <w:r>
        <w:rPr>
          <w:rFonts w:ascii="Times New Roman" w:eastAsia="Times New Roman" w:hAnsi="Times New Roman" w:cs="Times New Roman"/>
          <w:sz w:val="24"/>
          <w:szCs w:val="24"/>
        </w:rPr>
        <w:t>77</w:t>
      </w:r>
      <w:r w:rsidRPr="00166F12">
        <w:rPr>
          <w:rFonts w:ascii="Times New Roman" w:eastAsia="Times New Roman" w:hAnsi="Times New Roman" w:cs="Times New Roman"/>
          <w:sz w:val="24"/>
          <w:szCs w:val="24"/>
        </w:rPr>
        <w:t xml:space="preserve"> mg/g for GPBC, both exhibiting competitive performances with other carbon-based adsorbents available in the literature. The thermodynamic studies disclosed favorable, spontaneous, and endothermic processes. The synthesized </w:t>
      </w:r>
      <w:r>
        <w:rPr>
          <w:rFonts w:ascii="Times New Roman" w:eastAsia="Times New Roman" w:hAnsi="Times New Roman" w:cs="Times New Roman"/>
          <w:sz w:val="24"/>
          <w:szCs w:val="24"/>
        </w:rPr>
        <w:t>UiO66</w:t>
      </w:r>
      <w:r w:rsidRPr="00166F12">
        <w:rPr>
          <w:rFonts w:ascii="Times New Roman" w:eastAsia="Times New Roman" w:hAnsi="Times New Roman" w:cs="Times New Roman"/>
          <w:sz w:val="24"/>
          <w:szCs w:val="24"/>
        </w:rPr>
        <w:t>/GPBC and GPBC are excellent adsorbents recommended for large-scale production in the removal of anionic dyes from wastewaters.</w:t>
      </w:r>
    </w:p>
    <w:p w:rsidR="00B654A4" w:rsidRPr="00B654A4" w:rsidRDefault="00B654A4" w:rsidP="00A748A8">
      <w:pPr>
        <w:spacing w:after="0" w:line="240" w:lineRule="auto"/>
        <w:rPr>
          <w:rFonts w:ascii="Times New Roman" w:eastAsia="Times New Roman" w:hAnsi="Times New Roman" w:cs="Times New Roman"/>
          <w:i/>
          <w:color w:val="000000"/>
        </w:rPr>
      </w:pPr>
      <w:r w:rsidRPr="00B654A4">
        <w:rPr>
          <w:rFonts w:ascii="Times New Roman" w:eastAsia="Times New Roman" w:hAnsi="Times New Roman" w:cs="Times New Roman"/>
          <w:b/>
          <w:bCs/>
          <w:i/>
          <w:color w:val="000000"/>
        </w:rPr>
        <w:t>Keywords</w:t>
      </w:r>
      <w:r w:rsidRPr="00B654A4">
        <w:rPr>
          <w:rFonts w:ascii="Times New Roman" w:eastAsia="Times New Roman" w:hAnsi="Times New Roman" w:cs="Times New Roman"/>
          <w:i/>
          <w:color w:val="000000"/>
        </w:rPr>
        <w:t xml:space="preserve">: </w:t>
      </w:r>
      <w:r w:rsidR="00A748A8">
        <w:rPr>
          <w:rFonts w:ascii="Times New Roman" w:eastAsia="Times New Roman" w:hAnsi="Times New Roman" w:cs="Times New Roman"/>
          <w:i/>
          <w:color w:val="000000"/>
        </w:rPr>
        <w:t xml:space="preserve">zirconium </w:t>
      </w:r>
      <w:r w:rsidRPr="00B654A4">
        <w:rPr>
          <w:rFonts w:ascii="Times New Roman" w:eastAsia="Times New Roman" w:hAnsi="Times New Roman" w:cs="Times New Roman"/>
          <w:i/>
          <w:color w:val="000000"/>
        </w:rPr>
        <w:t xml:space="preserve">MOF; adsorption process; ecofriendly </w:t>
      </w:r>
      <w:r w:rsidR="00A748A8">
        <w:rPr>
          <w:rFonts w:ascii="Times New Roman" w:eastAsia="Times New Roman" w:hAnsi="Times New Roman" w:cs="Times New Roman"/>
          <w:i/>
          <w:color w:val="000000"/>
        </w:rPr>
        <w:t>nano</w:t>
      </w:r>
      <w:r w:rsidRPr="00B654A4">
        <w:rPr>
          <w:rFonts w:ascii="Times New Roman" w:eastAsia="Times New Roman" w:hAnsi="Times New Roman" w:cs="Times New Roman"/>
          <w:i/>
          <w:color w:val="000000"/>
        </w:rPr>
        <w:t xml:space="preserve">materials; Kinetic models; </w:t>
      </w:r>
      <w:r w:rsidR="00A748A8" w:rsidRPr="00A748A8">
        <w:rPr>
          <w:rFonts w:ascii="Times New Roman" w:eastAsia="Times New Roman" w:hAnsi="Times New Roman" w:cs="Times New Roman"/>
          <w:i/>
          <w:color w:val="000000"/>
        </w:rPr>
        <w:t>anionic dye</w:t>
      </w:r>
    </w:p>
    <w:p w:rsidR="00B654A4" w:rsidRPr="00B654A4" w:rsidRDefault="00B654A4" w:rsidP="00B654A4">
      <w:pPr>
        <w:tabs>
          <w:tab w:val="left" w:pos="2040"/>
        </w:tabs>
        <w:rPr>
          <w:rFonts w:ascii="Calibri" w:eastAsia="Calibri" w:hAnsi="Calibri" w:cs="Calibri"/>
          <w:color w:val="00000A"/>
        </w:rPr>
      </w:pPr>
      <w:r w:rsidRPr="00B654A4">
        <w:rPr>
          <w:rFonts w:ascii="Times New Roman" w:eastAsia="Times New Roman" w:hAnsi="Times New Roman" w:cs="Times New Roman"/>
          <w:b/>
          <w:color w:val="000000"/>
          <w:sz w:val="24"/>
          <w:szCs w:val="24"/>
        </w:rPr>
        <w:t>Acknowledgments</w:t>
      </w:r>
    </w:p>
    <w:p w:rsidR="00B654A4" w:rsidRDefault="00B654A4" w:rsidP="00B654A4">
      <w:pPr>
        <w:jc w:val="both"/>
      </w:pPr>
      <w:r w:rsidRPr="00B654A4">
        <w:rPr>
          <w:rFonts w:ascii="Times New Roman" w:eastAsia="Times New Roman" w:hAnsi="Times New Roman" w:cs="Times New Roman"/>
          <w:color w:val="000000"/>
          <w:sz w:val="24"/>
          <w:szCs w:val="24"/>
        </w:rPr>
        <w:t>This work was supported by The British Council under Research Environment Links call for project entitled "Capacity Building in Egypt for Enhancing water availability, food security and renewable energy using MOF adsorption heat pumps” (Grants no. 871105921).</w:t>
      </w:r>
    </w:p>
    <w:sectPr w:rsidR="00B6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37"/>
    <w:rsid w:val="000F0A16"/>
    <w:rsid w:val="00626B37"/>
    <w:rsid w:val="00A748A8"/>
    <w:rsid w:val="00B654A4"/>
    <w:rsid w:val="00DD017D"/>
    <w:rsid w:val="00E62DDD"/>
    <w:rsid w:val="00F1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ssan.shokry@ejust.edu.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Tera</cp:lastModifiedBy>
  <cp:revision>2</cp:revision>
  <dcterms:created xsi:type="dcterms:W3CDTF">2023-02-22T19:41:00Z</dcterms:created>
  <dcterms:modified xsi:type="dcterms:W3CDTF">2023-02-22T19:41:00Z</dcterms:modified>
</cp:coreProperties>
</file>